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2885"/>
          <w:tab w:val="left" w:pos="9915"/>
          <w:tab w:val="left" w:pos="12545"/>
          <w:tab w:val="left" w:pos="13545"/>
        </w:tabs>
        <w:spacing w:line="600" w:lineRule="exact"/>
        <w:ind w:left="91"/>
        <w:jc w:val="left"/>
        <w:rPr>
          <w:rFonts w:eastAsia="黑体"/>
          <w:bCs/>
          <w:kern w:val="0"/>
          <w:sz w:val="32"/>
          <w:szCs w:val="32"/>
        </w:rPr>
      </w:pPr>
      <w:r>
        <w:rPr>
          <w:rFonts w:eastAsia="黑体"/>
          <w:bCs/>
          <w:kern w:val="0"/>
          <w:sz w:val="32"/>
          <w:szCs w:val="32"/>
        </w:rPr>
        <w:t>附件</w:t>
      </w:r>
      <w:bookmarkStart w:id="0" w:name="_GoBack"/>
      <w:bookmarkEnd w:id="0"/>
    </w:p>
    <w:p>
      <w:pPr>
        <w:widowControl/>
        <w:tabs>
          <w:tab w:val="left" w:pos="2885"/>
          <w:tab w:val="left" w:pos="9915"/>
          <w:tab w:val="left" w:pos="12545"/>
          <w:tab w:val="left" w:pos="13545"/>
        </w:tabs>
        <w:spacing w:line="520" w:lineRule="exact"/>
        <w:ind w:left="91"/>
        <w:jc w:val="left"/>
        <w:rPr>
          <w:rFonts w:eastAsia="黑体"/>
          <w:kern w:val="0"/>
          <w:sz w:val="32"/>
          <w:szCs w:val="32"/>
        </w:rPr>
      </w:pPr>
    </w:p>
    <w:p>
      <w:pPr>
        <w:widowControl/>
        <w:spacing w:line="600" w:lineRule="exact"/>
        <w:ind w:left="91"/>
        <w:jc w:val="center"/>
        <w:rPr>
          <w:rFonts w:eastAsia="方正小标宋_GBK"/>
          <w:kern w:val="0"/>
          <w:sz w:val="44"/>
          <w:szCs w:val="44"/>
        </w:rPr>
      </w:pPr>
      <w:r>
        <w:rPr>
          <w:rFonts w:eastAsia="方正小标宋_GBK"/>
          <w:kern w:val="0"/>
          <w:sz w:val="44"/>
          <w:szCs w:val="44"/>
        </w:rPr>
        <w:t>2021年湖南省高校思想政治工作研究项目立项名单</w:t>
      </w:r>
    </w:p>
    <w:p>
      <w:pPr>
        <w:widowControl/>
        <w:spacing w:line="520" w:lineRule="exact"/>
        <w:ind w:left="91"/>
        <w:jc w:val="left"/>
        <w:rPr>
          <w:rFonts w:eastAsia="黑体"/>
          <w:kern w:val="0"/>
          <w:sz w:val="32"/>
          <w:szCs w:val="32"/>
        </w:rPr>
      </w:pPr>
    </w:p>
    <w:p>
      <w:pPr>
        <w:numPr>
          <w:ilvl w:val="0"/>
          <w:numId w:val="1"/>
        </w:numPr>
        <w:spacing w:line="560" w:lineRule="exact"/>
        <w:ind w:left="-134" w:firstLine="640" w:firstLineChars="200"/>
        <w:rPr>
          <w:rFonts w:eastAsia="黑体"/>
          <w:sz w:val="32"/>
          <w:szCs w:val="32"/>
        </w:rPr>
      </w:pPr>
      <w:r>
        <w:rPr>
          <w:rFonts w:eastAsia="黑体"/>
          <w:sz w:val="32"/>
          <w:szCs w:val="32"/>
        </w:rPr>
        <w:t>省社科基金重点项目（1项）</w:t>
      </w:r>
    </w:p>
    <w:tbl>
      <w:tblPr>
        <w:tblStyle w:val="4"/>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339"/>
        <w:gridCol w:w="7655"/>
        <w:gridCol w:w="11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7" w:type="dxa"/>
            <w:noWrap w:val="0"/>
            <w:vAlign w:val="center"/>
          </w:tcPr>
          <w:p>
            <w:pPr>
              <w:widowControl/>
              <w:snapToGrid w:val="0"/>
              <w:jc w:val="center"/>
              <w:rPr>
                <w:rFonts w:ascii="Times New Roman" w:hAnsi="Times New Roman"/>
                <w:sz w:val="32"/>
                <w:szCs w:val="32"/>
              </w:rPr>
            </w:pPr>
            <w:r>
              <w:rPr>
                <w:rFonts w:ascii="Times New Roman" w:hAnsi="Times New Roman"/>
                <w:b/>
                <w:bCs/>
                <w:kern w:val="0"/>
                <w:sz w:val="24"/>
                <w:lang w:bidi="ar"/>
              </w:rPr>
              <w:t>编号</w:t>
            </w:r>
          </w:p>
        </w:tc>
        <w:tc>
          <w:tcPr>
            <w:tcW w:w="3339" w:type="dxa"/>
            <w:noWrap w:val="0"/>
            <w:vAlign w:val="center"/>
          </w:tcPr>
          <w:p>
            <w:pPr>
              <w:widowControl/>
              <w:snapToGrid w:val="0"/>
              <w:jc w:val="center"/>
              <w:rPr>
                <w:rFonts w:ascii="Times New Roman" w:hAnsi="Times New Roman"/>
                <w:sz w:val="32"/>
                <w:szCs w:val="32"/>
              </w:rPr>
            </w:pPr>
            <w:r>
              <w:rPr>
                <w:rFonts w:ascii="Times New Roman" w:hAnsi="Times New Roman"/>
                <w:b/>
                <w:bCs/>
                <w:kern w:val="0"/>
                <w:sz w:val="24"/>
                <w:lang w:bidi="ar"/>
              </w:rPr>
              <w:t>高校名称</w:t>
            </w:r>
          </w:p>
        </w:tc>
        <w:tc>
          <w:tcPr>
            <w:tcW w:w="7655" w:type="dxa"/>
            <w:noWrap w:val="0"/>
            <w:vAlign w:val="center"/>
          </w:tcPr>
          <w:p>
            <w:pPr>
              <w:widowControl/>
              <w:snapToGrid w:val="0"/>
              <w:jc w:val="center"/>
              <w:rPr>
                <w:rFonts w:ascii="Times New Roman" w:hAnsi="Times New Roman"/>
                <w:sz w:val="32"/>
                <w:szCs w:val="32"/>
              </w:rPr>
            </w:pPr>
            <w:r>
              <w:rPr>
                <w:rFonts w:ascii="Times New Roman" w:hAnsi="Times New Roman"/>
                <w:b/>
                <w:bCs/>
                <w:kern w:val="0"/>
                <w:sz w:val="24"/>
                <w:lang w:bidi="ar"/>
              </w:rPr>
              <w:t>项目名称</w:t>
            </w:r>
          </w:p>
        </w:tc>
        <w:tc>
          <w:tcPr>
            <w:tcW w:w="1180" w:type="dxa"/>
            <w:noWrap w:val="0"/>
            <w:vAlign w:val="center"/>
          </w:tcPr>
          <w:p>
            <w:pPr>
              <w:widowControl/>
              <w:snapToGrid w:val="0"/>
              <w:jc w:val="center"/>
              <w:rPr>
                <w:rFonts w:ascii="Times New Roman" w:hAnsi="Times New Roman"/>
                <w:sz w:val="32"/>
                <w:szCs w:val="32"/>
              </w:rPr>
            </w:pPr>
            <w:r>
              <w:rPr>
                <w:rFonts w:ascii="Times New Roman" w:hAnsi="Times New Roman"/>
                <w:b/>
                <w:bCs/>
                <w:kern w:val="0"/>
                <w:sz w:val="24"/>
                <w:lang w:bidi="ar"/>
              </w:rPr>
              <w:t>主持人</w:t>
            </w:r>
          </w:p>
        </w:tc>
        <w:tc>
          <w:tcPr>
            <w:tcW w:w="1280" w:type="dxa"/>
            <w:noWrap w:val="0"/>
            <w:vAlign w:val="center"/>
          </w:tcPr>
          <w:p>
            <w:pPr>
              <w:widowControl/>
              <w:snapToGrid w:val="0"/>
              <w:jc w:val="center"/>
              <w:rPr>
                <w:rFonts w:ascii="Times New Roman" w:hAnsi="Times New Roman"/>
                <w:b/>
                <w:bCs/>
                <w:kern w:val="0"/>
                <w:sz w:val="24"/>
                <w:lang w:bidi="ar"/>
              </w:rPr>
            </w:pPr>
            <w:r>
              <w:rPr>
                <w:rFonts w:ascii="Times New Roman" w:hAnsi="Times New Roman"/>
                <w:b/>
                <w:bCs/>
                <w:kern w:val="0"/>
                <w:sz w:val="24"/>
                <w:lang w:bidi="ar"/>
              </w:rPr>
              <w:t>经费</w:t>
            </w:r>
          </w:p>
          <w:p>
            <w:pPr>
              <w:widowControl/>
              <w:snapToGrid w:val="0"/>
              <w:jc w:val="center"/>
              <w:rPr>
                <w:rFonts w:ascii="Times New Roman" w:hAnsi="Times New Roman"/>
                <w:sz w:val="32"/>
                <w:szCs w:val="32"/>
              </w:rPr>
            </w:pPr>
            <w:r>
              <w:rPr>
                <w:rFonts w:ascii="Times New Roman" w:hAnsi="Times New Roman"/>
                <w:b/>
                <w:bCs/>
                <w:kern w:val="0"/>
                <w:sz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17" w:type="dxa"/>
            <w:noWrap w:val="0"/>
            <w:vAlign w:val="center"/>
          </w:tcPr>
          <w:p>
            <w:pPr>
              <w:snapToGrid w:val="0"/>
              <w:jc w:val="center"/>
              <w:rPr>
                <w:rFonts w:ascii="Times New Roman" w:hAnsi="Times New Roman"/>
                <w:sz w:val="24"/>
              </w:rPr>
            </w:pPr>
            <w:r>
              <w:rPr>
                <w:rFonts w:ascii="Times New Roman" w:hAnsi="Times New Roman"/>
                <w:sz w:val="24"/>
              </w:rPr>
              <w:t>21A01</w:t>
            </w:r>
          </w:p>
        </w:tc>
        <w:tc>
          <w:tcPr>
            <w:tcW w:w="3339" w:type="dxa"/>
            <w:noWrap w:val="0"/>
            <w:vAlign w:val="center"/>
          </w:tcPr>
          <w:p>
            <w:pPr>
              <w:snapToGrid w:val="0"/>
              <w:jc w:val="left"/>
              <w:rPr>
                <w:rFonts w:ascii="Times New Roman" w:hAnsi="Times New Roman"/>
                <w:sz w:val="24"/>
              </w:rPr>
            </w:pPr>
            <w:r>
              <w:rPr>
                <w:rFonts w:ascii="Times New Roman" w:hAnsi="Times New Roman"/>
                <w:sz w:val="24"/>
              </w:rPr>
              <w:t>长沙学院</w:t>
            </w:r>
          </w:p>
        </w:tc>
        <w:tc>
          <w:tcPr>
            <w:tcW w:w="7655" w:type="dxa"/>
            <w:noWrap w:val="0"/>
            <w:vAlign w:val="center"/>
          </w:tcPr>
          <w:p>
            <w:pPr>
              <w:snapToGrid w:val="0"/>
              <w:jc w:val="left"/>
              <w:rPr>
                <w:rFonts w:ascii="Times New Roman" w:hAnsi="Times New Roman"/>
                <w:sz w:val="24"/>
              </w:rPr>
            </w:pPr>
            <w:r>
              <w:rPr>
                <w:rFonts w:ascii="Times New Roman" w:hAnsi="Times New Roman"/>
                <w:sz w:val="24"/>
              </w:rPr>
              <w:t>中国共产党思想政治教育的百年历程及经验启示研究</w:t>
            </w:r>
          </w:p>
        </w:tc>
        <w:tc>
          <w:tcPr>
            <w:tcW w:w="1180" w:type="dxa"/>
            <w:noWrap w:val="0"/>
            <w:vAlign w:val="center"/>
          </w:tcPr>
          <w:p>
            <w:pPr>
              <w:snapToGrid w:val="0"/>
              <w:jc w:val="center"/>
              <w:rPr>
                <w:rFonts w:ascii="Times New Roman" w:hAnsi="Times New Roman"/>
                <w:sz w:val="24"/>
              </w:rPr>
            </w:pPr>
            <w:r>
              <w:rPr>
                <w:rFonts w:ascii="Times New Roman" w:hAnsi="Times New Roman"/>
                <w:sz w:val="24"/>
              </w:rPr>
              <w:t>黄清迎</w:t>
            </w:r>
          </w:p>
        </w:tc>
        <w:tc>
          <w:tcPr>
            <w:tcW w:w="1280" w:type="dxa"/>
            <w:noWrap w:val="0"/>
            <w:vAlign w:val="center"/>
          </w:tcPr>
          <w:p>
            <w:pPr>
              <w:snapToGrid w:val="0"/>
              <w:jc w:val="center"/>
              <w:rPr>
                <w:rFonts w:ascii="Times New Roman" w:hAnsi="Times New Roman"/>
                <w:sz w:val="24"/>
              </w:rPr>
            </w:pPr>
            <w:r>
              <w:rPr>
                <w:rFonts w:ascii="Times New Roman" w:hAnsi="Times New Roman"/>
                <w:sz w:val="24"/>
              </w:rPr>
              <w:t>8（重点）</w:t>
            </w:r>
          </w:p>
        </w:tc>
      </w:tr>
    </w:tbl>
    <w:p>
      <w:pPr>
        <w:numPr>
          <w:ilvl w:val="0"/>
          <w:numId w:val="1"/>
        </w:numPr>
        <w:spacing w:line="560" w:lineRule="exact"/>
        <w:ind w:left="-134" w:firstLine="640" w:firstLineChars="200"/>
        <w:rPr>
          <w:rFonts w:eastAsia="黑体"/>
          <w:sz w:val="32"/>
          <w:szCs w:val="32"/>
        </w:rPr>
      </w:pPr>
      <w:r>
        <w:rPr>
          <w:rFonts w:eastAsia="黑体"/>
          <w:sz w:val="32"/>
          <w:szCs w:val="32"/>
        </w:rPr>
        <w:t>省社科基金一般项目（29项）</w:t>
      </w:r>
    </w:p>
    <w:tbl>
      <w:tblPr>
        <w:tblStyle w:val="4"/>
        <w:tblW w:w="14407" w:type="dxa"/>
        <w:jc w:val="center"/>
        <w:tblLayout w:type="fixed"/>
        <w:tblCellMar>
          <w:top w:w="0" w:type="dxa"/>
          <w:left w:w="108" w:type="dxa"/>
          <w:bottom w:w="0" w:type="dxa"/>
          <w:right w:w="108" w:type="dxa"/>
        </w:tblCellMar>
      </w:tblPr>
      <w:tblGrid>
        <w:gridCol w:w="990"/>
        <w:gridCol w:w="3328"/>
        <w:gridCol w:w="7655"/>
        <w:gridCol w:w="1151"/>
        <w:gridCol w:w="1283"/>
      </w:tblGrid>
      <w:tr>
        <w:tblPrEx>
          <w:tblCellMar>
            <w:top w:w="0" w:type="dxa"/>
            <w:left w:w="108" w:type="dxa"/>
            <w:bottom w:w="0" w:type="dxa"/>
            <w:right w:w="108" w:type="dxa"/>
          </w:tblCellMar>
        </w:tblPrEx>
        <w:trPr>
          <w:trHeight w:val="445" w:hRule="atLeast"/>
          <w:tblHeader/>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left="-141" w:leftChars="-67" w:right="-170" w:rightChars="-81"/>
              <w:jc w:val="center"/>
              <w:rPr>
                <w:rFonts w:ascii="Times New Roman" w:hAnsi="Times New Roman"/>
                <w:b/>
                <w:bCs/>
                <w:kern w:val="0"/>
                <w:sz w:val="24"/>
              </w:rPr>
            </w:pPr>
            <w:r>
              <w:rPr>
                <w:rFonts w:ascii="Times New Roman" w:hAnsi="Times New Roman"/>
                <w:b/>
                <w:bCs/>
                <w:kern w:val="0"/>
                <w:sz w:val="24"/>
              </w:rPr>
              <w:t>编号</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firstLine="19" w:firstLineChars="8"/>
              <w:jc w:val="center"/>
              <w:rPr>
                <w:rFonts w:ascii="Times New Roman" w:hAnsi="Times New Roman"/>
                <w:b/>
                <w:bCs/>
                <w:kern w:val="0"/>
                <w:sz w:val="24"/>
              </w:rPr>
            </w:pPr>
            <w:r>
              <w:rPr>
                <w:rFonts w:ascii="Times New Roman" w:hAnsi="Times New Roman"/>
                <w:b/>
                <w:bCs/>
                <w:kern w:val="0"/>
                <w:sz w:val="24"/>
              </w:rPr>
              <w:t>高校名称</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项目名称</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主持人</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经费</w:t>
            </w:r>
          </w:p>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（万元）</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21B01</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“四史”教育融入高校思想政治理论课教学模式研究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刘建亚</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21B02</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新时代高校意识形态阵地建设与管理研究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李璀</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21B03</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“移动”思政课堂建设常态化机制研究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龚完全</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21B04</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加强新时代高校意识形态工作领导权研究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李超民</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21B05</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习近平新时代中国特色社会主义思想大众化路径研究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邢鹏飞</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21B06</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新时代高校“三位一体”贯通式党史教育模式研究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刘韬</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21B07</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长沙理工大学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高校“思政课程”与“课程思政”铸魂育人协同创新研究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邱国良</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3"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21B08</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长沙理工大学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高校美育增强社会主义意识形态引领力的逻辑理路与实践路径研究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文丽丽</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21B09</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长沙理工大学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高校“水利特岗生”思想政治教育模式创新研究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王学成</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21B10</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湖南农业大学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中国共产党百年马克思主义理论教育经验研究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周志平</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21B11</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湖南农业大学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中国共产党百年思想政治教育史研究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柳博</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21B12</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总体国家安全观视域下大学生忧患意识教育研究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李健林</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21B13</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高校思想政治教育协同育人模式优化研究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tabs>
                <w:tab w:val="left" w:pos="563"/>
              </w:tabs>
              <w:snapToGrid w:val="0"/>
              <w:jc w:val="center"/>
              <w:rPr>
                <w:rFonts w:ascii="Times New Roman" w:hAnsi="Times New Roman"/>
                <w:sz w:val="24"/>
              </w:rPr>
            </w:pPr>
            <w:r>
              <w:rPr>
                <w:rFonts w:ascii="Times New Roman" w:hAnsi="Times New Roman"/>
                <w:kern w:val="0"/>
                <w:sz w:val="24"/>
                <w:lang w:bidi="ar"/>
              </w:rPr>
              <w:t>徐保风</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21B14</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高校思想政治理论课制度自信教育的着力点与范式研究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李琳</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21B15</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吉首大学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危机管理视阈下高校网络舆情协同治理研究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李洪雄</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21B16</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高校文科院系大学生劳动教育的机理与路径研究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文春风</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21B17</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湖南工商大学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课程思政“金课”建设的融合创新路径与保障机制研究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杨水根</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21B18</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湖南理工学院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新时代提升研究生思想政治教育亲和力的路径研究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李丽荣</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45"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21B19</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湖南城市学院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思政课推进习近平新时代中国特色社会主义思想大众化研究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王钢</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8"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21B20</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邵阳学院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“三全育人”背景下校园体育文化提升高校思想政治教育质量及实现路径研究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姜俊</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21B21</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怀化学院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“四史”学习教育融入高校思政工作研究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陈朝霞</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21B22</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湖南人文科技学院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新时代高校推进大学生传承中国共产党百年红色基因研究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曹鑫</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21B23</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习近平总书记关于革命精神的发展与创新研究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彭国柱</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21B24</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湖南财政经济学院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习近平关于网络意识形态安全重要论述融入高校思政课教学研究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张本青</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21B25</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大学生思想政治教育文学载体的创作与应用研究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胡海燕</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22"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21B26</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湖南中医药高等专科学校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湖南红色文化资源融入党史学习教育的价值与路径研究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薛华</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21B27</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长沙民政职业技术学院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红色文化资源融入高校“移动”思政课堂的实践路径研究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张晓琳</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21B28</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湖南司法警官职业学院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习近平新时代中国特色社会主义思想大众化路径研究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刘东南</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sz w:val="24"/>
              </w:rPr>
              <w:t>21B29</w:t>
            </w:r>
          </w:p>
        </w:tc>
        <w:tc>
          <w:tcPr>
            <w:tcW w:w="33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湖南有色金属职业技术学院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“四史”教育融入高校思想政治教育路径研究</w:t>
            </w:r>
          </w:p>
        </w:tc>
        <w:tc>
          <w:tcPr>
            <w:tcW w:w="115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刘淑娟</w:t>
            </w:r>
          </w:p>
        </w:tc>
        <w:tc>
          <w:tcPr>
            <w:tcW w:w="128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bl>
    <w:p>
      <w:pPr>
        <w:spacing w:line="560" w:lineRule="exact"/>
        <w:ind w:firstLine="640" w:firstLineChars="200"/>
        <w:rPr>
          <w:rFonts w:eastAsia="黑体"/>
          <w:sz w:val="32"/>
          <w:szCs w:val="32"/>
        </w:rPr>
      </w:pPr>
      <w:r>
        <w:rPr>
          <w:rFonts w:eastAsia="黑体"/>
          <w:sz w:val="32"/>
          <w:szCs w:val="32"/>
        </w:rPr>
        <w:t>三、高校思想政治教育项目（80项）</w:t>
      </w:r>
    </w:p>
    <w:tbl>
      <w:tblPr>
        <w:tblStyle w:val="4"/>
        <w:tblW w:w="14430" w:type="dxa"/>
        <w:jc w:val="center"/>
        <w:tblLayout w:type="fixed"/>
        <w:tblCellMar>
          <w:top w:w="0" w:type="dxa"/>
          <w:left w:w="108" w:type="dxa"/>
          <w:bottom w:w="0" w:type="dxa"/>
          <w:right w:w="108" w:type="dxa"/>
        </w:tblCellMar>
      </w:tblPr>
      <w:tblGrid>
        <w:gridCol w:w="992"/>
        <w:gridCol w:w="3373"/>
        <w:gridCol w:w="7655"/>
        <w:gridCol w:w="1047"/>
        <w:gridCol w:w="1363"/>
      </w:tblGrid>
      <w:tr>
        <w:tblPrEx>
          <w:tblCellMar>
            <w:top w:w="0" w:type="dxa"/>
            <w:left w:w="108" w:type="dxa"/>
            <w:bottom w:w="0" w:type="dxa"/>
            <w:right w:w="108" w:type="dxa"/>
          </w:tblCellMar>
        </w:tblPrEx>
        <w:trPr>
          <w:trHeight w:val="382" w:hRule="atLeast"/>
          <w:tblHeader/>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60" w:lineRule="exact"/>
              <w:ind w:left="-141" w:leftChars="-67" w:right="-181" w:rightChars="-86"/>
              <w:jc w:val="center"/>
              <w:rPr>
                <w:rFonts w:ascii="Times New Roman" w:hAnsi="Times New Roman"/>
                <w:b/>
                <w:bCs/>
                <w:kern w:val="0"/>
                <w:sz w:val="24"/>
              </w:rPr>
            </w:pPr>
            <w:r>
              <w:rPr>
                <w:rFonts w:ascii="Times New Roman" w:hAnsi="Times New Roman"/>
                <w:b/>
                <w:bCs/>
                <w:kern w:val="0"/>
                <w:sz w:val="24"/>
              </w:rPr>
              <w:t>编号</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spacing w:line="260" w:lineRule="exact"/>
              <w:ind w:firstLine="19" w:firstLineChars="8"/>
              <w:jc w:val="center"/>
              <w:rPr>
                <w:rFonts w:ascii="Times New Roman" w:hAnsi="Times New Roman"/>
                <w:b/>
                <w:bCs/>
                <w:kern w:val="0"/>
                <w:sz w:val="24"/>
              </w:rPr>
            </w:pPr>
            <w:r>
              <w:rPr>
                <w:rFonts w:ascii="Times New Roman" w:hAnsi="Times New Roman"/>
                <w:b/>
                <w:bCs/>
                <w:kern w:val="0"/>
                <w:sz w:val="24"/>
              </w:rPr>
              <w:t>高校名称</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spacing w:line="260" w:lineRule="exact"/>
              <w:ind w:left="-141" w:leftChars="-67"/>
              <w:jc w:val="center"/>
              <w:rPr>
                <w:rFonts w:ascii="Times New Roman" w:hAnsi="Times New Roman"/>
                <w:b/>
                <w:bCs/>
                <w:kern w:val="0"/>
                <w:sz w:val="24"/>
              </w:rPr>
            </w:pPr>
            <w:r>
              <w:rPr>
                <w:rFonts w:ascii="Times New Roman" w:hAnsi="Times New Roman"/>
                <w:b/>
                <w:bCs/>
                <w:kern w:val="0"/>
                <w:sz w:val="24"/>
              </w:rPr>
              <w:t>项目名称</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spacing w:line="260" w:lineRule="exact"/>
              <w:ind w:left="-141" w:leftChars="-67"/>
              <w:jc w:val="center"/>
              <w:rPr>
                <w:rFonts w:ascii="Times New Roman" w:hAnsi="Times New Roman"/>
                <w:b/>
                <w:bCs/>
                <w:kern w:val="0"/>
                <w:sz w:val="24"/>
              </w:rPr>
            </w:pPr>
            <w:r>
              <w:rPr>
                <w:rFonts w:ascii="Times New Roman" w:hAnsi="Times New Roman"/>
                <w:b/>
                <w:bCs/>
                <w:kern w:val="0"/>
                <w:sz w:val="24"/>
              </w:rPr>
              <w:t>主持人</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spacing w:line="260" w:lineRule="exact"/>
              <w:ind w:left="-141" w:leftChars="-67"/>
              <w:jc w:val="center"/>
              <w:rPr>
                <w:rFonts w:ascii="Times New Roman" w:hAnsi="Times New Roman"/>
                <w:b/>
                <w:bCs/>
                <w:kern w:val="0"/>
                <w:sz w:val="24"/>
              </w:rPr>
            </w:pPr>
            <w:r>
              <w:rPr>
                <w:rFonts w:ascii="Times New Roman" w:hAnsi="Times New Roman"/>
                <w:b/>
                <w:bCs/>
                <w:kern w:val="0"/>
                <w:sz w:val="24"/>
              </w:rPr>
              <w:t>经费</w:t>
            </w:r>
          </w:p>
          <w:p>
            <w:pPr>
              <w:widowControl/>
              <w:snapToGrid w:val="0"/>
              <w:spacing w:line="260" w:lineRule="exact"/>
              <w:ind w:left="-141" w:leftChars="-67"/>
              <w:jc w:val="center"/>
              <w:rPr>
                <w:rFonts w:ascii="Times New Roman" w:hAnsi="Times New Roman"/>
                <w:b/>
                <w:bCs/>
                <w:kern w:val="0"/>
                <w:sz w:val="24"/>
              </w:rPr>
            </w:pPr>
            <w:r>
              <w:rPr>
                <w:rFonts w:ascii="Times New Roman" w:hAnsi="Times New Roman"/>
                <w:b/>
                <w:bCs/>
                <w:kern w:val="0"/>
                <w:sz w:val="24"/>
              </w:rPr>
              <w:t>（万元）</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新时期高校党外知识分子思想政治引领的路径研究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李燕峰</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“四史”学习教育背景下岳麓书院文化育人平台的创新与发展研究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马华华</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基于区校共建的大学生德育高地模式构建研究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唐建文</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新时代大学生党员廉洁意识养成及培育路径研究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蔡一文</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湖南农业大学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基于CIPP模型的湖南省高校劳动教育评价指标体系研究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汤燕妮</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新时代加强高校意识形态工作领导权的对策研究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赵培瑞</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湖南中医药大学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高校思政课教师和辅导员协同育人模式研究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张强军</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湖南中医药大学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融媒体时代“四史”学习教育融入高校思政工作的路径创新研究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杨盈盈</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21C09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南华大学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新时代高校劳动育人“家校社”协同机制研究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阳剑兰</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新时代党史教育融入高校实践育人工作策略研究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胡鹏</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“三全育人”背景下高校班级育人生态系统构建研究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彭小光</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吉首大学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抗疫精神融入医学生思政教育研究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张旺</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习近平总书记关于思想政治教育环境的重要论述研究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潘云成</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健全高校民族团结进步创建工作机制研究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江轶</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湖南工商大学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数字时代本土红色资源融入高校思政教学逻辑机理与实践路径研究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孙玮</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衡阳师范学院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地方院校“移动”思政课堂高质量建设的实现机制研究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谢启秦</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湖南文理学院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“三全育人”背景下乡村教师培养“生命”模式研究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罗碧琼</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湖南文理学院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地方高校创新创业与思政教育融合路径研究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赵柳</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21C19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湖南工程学院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党史文化促进大学生政治认同教育研究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钟立华</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湖南城市学院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提升中外合作办学英语课程思政有效性路径研究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陈今晶</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邵阳学院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地方本科高校“清廉校园”建设系统路径探究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肖亮</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怀化学院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湘西红色文化育人的现实困境和实现路径研究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黄诚</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地方红色文化融入大学生“四史”教育研究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杨涛</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新时代高校组织育人的理论与实践研究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林泽红</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湘南学院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湘南红色音乐融入党史教育的创新性研究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陈曼倚</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8"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“四史”融入《思想道德修养与法律基础》课程改革创新研究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杨飞</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372"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“三全育人”背景下地方工科院校学生工匠精神培育研究——以佛系学生群体为研究对象</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伍小乐</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7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湖南第一师范学院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铸牢大学生中华民族共同体意识研究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李令</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7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21C29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湖南警察学院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新时代我国大学生思想素质结构及其优化研究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唐励</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7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湖南女子学院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“四史”教育融入商科专业课程思政的路径研究与实践</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李飞</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372"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湖南信息学院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科学家精神在学史崇德教育中的引领力研究——以群众自发吊唁袁隆平为研究入口</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王骏缘</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湖南信息学院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脱贫攻坚巩固期高校资助育人“三精”模式构建与实践</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陈春亚</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湖南应用技术学院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“一体五化”高校德育工作机制实践研究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贺修裕</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湘潭理工学院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大学生“五育并举”阳光心育模式构建的探索与实践</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邹晓卓</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湘潭理工学院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“互联网+”背景下高校思政课传承红色基因“问题链”教学模式研究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陈鹏</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湖南网络工程职业学院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红色基因传承背景下大学生志愿服务工作机制创新研究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吴晶</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湖南幼儿师范高等专科学校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当代社会生活个体化背景下大学生公共精神培育研究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李鲜艳</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湘南幼儿师范高等专科学校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“三牛精神”融入高校时代新人培育的研究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彭建武</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21C39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湘中幼儿师范高等专科学校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“四史”学习教育融入大学生思想政治教育研究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罗祥龙</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永州师范高等专科学校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新时代高校统战与思想政治工作的有机融合研究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胡达仁</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长沙幼儿师范高等专科学校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高职高专“七彩阳光”思想政治教育范式研究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周曦</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基于内化视角的高校劳动教育研究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张铃娣</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湖南科技职业学院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高职思政课与实践教学基地“协同育人”研究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蒋晓红</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4"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娄底职业技术学院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楚怡精神融入高职院校学生思想政治教育研究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邱玉贵</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湖南环境生物职业技术学院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湖湘优秀传统文化教育融入新时代大学生生活研究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邓静</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长沙环境保护职业技术学院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基于“四大平台”，打造高校党建+“三型”思政教育工作先锋队研究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刘珊</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湖南现代物流职业技术学院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新时代大学生社会主义核心价值观教育链研究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李芳</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湖南信息职业技术学院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党史教育融入高职院校思想政治教育的路径研究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姚庆武</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21C49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常德职业技术学院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高校大学生红色宣讲团深化思政教育路径研究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何琼</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1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湖南机电职业技术学院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新时代高职院校学生社会责任教育的路径与方法创新研究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赵芹</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2"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湖南商务职业技术学院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大学生媒介依赖视阈下高校校园文化和思想政治教育育人模式的转型升级研究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李江冬</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湖南工程职业技术学院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新时代湖南党史融入本土高职院校思想政治理论课的路径研究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宋晓娟</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长沙商贸旅游职业技术学院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“四史”学习教育融入高校思政工作的路径创新研究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吴春红</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湖南城建职业技术学院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大学生网络精神文明建设问题与对策研究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陈为化</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湖南化工职业技术学院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新时代高职院校网络意识形态安全研究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刘其琛</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6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湖南高速铁路职业技术学院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新时代红色歌曲在高校大学生思想政治教育中的运用研究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周姝</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333"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湖南电气职业技术学院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“五融四促”中国优秀传统文化在高职学生思想政治教育中的作用研究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邓祖禄</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张家界航空工业职业技术学院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“大思政”背景下高职定向培养士官生红色基因传承路径与机制研究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魏道德</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21C59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怀化职业技术学院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红色基因融入高职院校课程思政研究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王义友</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湖南软件职业技术大学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党史学习教育融入高职院校“三全育人”体系研究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刘佳</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保险职业学院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湖湘百年红色基因融入新时代大学生意识形态教育研究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李长春</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湘潭医卫职业技术学院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三全育人视域下医卫类实习生网络“主题班会”育人实践研究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马小强</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3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长沙职业技术学院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新时代高职“四位一体”劳动教育体系构建研究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杨玉荣</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湖南石油化工职业技术学院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“五德并育”视域下高职学生德性素养评价体系研究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谢畅</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益阳职业技术学院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“四史”教育深度融入高职思想政治理论课的路径研究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蔡文馨</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湖南理工职业技术学院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互联网时代大学生偶像崇拜的失范与价值引导研究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邹连方</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湖南安全技术职业学院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“红色基因”融入高校思想政治教育工作研究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翦象虹</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湖南高尔夫旅游职业学院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全媒体时代民办高职院校学生主流意识形态引导策略研究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陈巨红</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21C69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长沙卫生职业学院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将“抗疫精神”融入医卫类高职院校党史学习教育实践研究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李毅</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21C70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湖南食品药品职业学院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教育生态学视角下高职学生德育评价范式转换研究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洪剑锋</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21C71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湖南劳动人事职业学院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全媒体时代高职院校网络舆情管理与引导的长效机制研究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郑茜</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中南大学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以访促学，深化大学生“三全育人”路径建设研究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段泽球</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高校家庭经济困难学生的心理弹性状况及其对策研究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林威娜</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“四史”教育融入高校课程思政的实现路径研究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张琳</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大思政视域下高校研究生社团管理问题研究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刘翱</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加强高校意识形态工作话语权路径研究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孙明辉</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红色文化提升高校思想政治教育的亲和力路径研究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文林波</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新时代大学生劳动教育研究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周筱芬</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湖南工程学院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地方院校土木工程安全意识课程思政研究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罗章</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5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ascii="Times New Roman" w:hAnsi="Times New Roman"/>
                <w:sz w:val="24"/>
              </w:rPr>
            </w:pPr>
            <w:r>
              <w:rPr>
                <w:rFonts w:ascii="Times New Roman" w:hAnsi="Times New Roman"/>
                <w:color w:val="000000"/>
                <w:kern w:val="0"/>
                <w:sz w:val="24"/>
                <w:lang w:bidi="ar"/>
              </w:rPr>
              <w:t>21D09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pacing w:val="-6"/>
                <w:sz w:val="24"/>
              </w:rPr>
            </w:pPr>
            <w:r>
              <w:rPr>
                <w:rFonts w:ascii="Times New Roman" w:hAnsi="Times New Roman"/>
                <w:kern w:val="0"/>
                <w:sz w:val="24"/>
                <w:lang w:bidi="ar"/>
              </w:rPr>
              <w:t>长沙师范学院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left"/>
              <w:rPr>
                <w:rFonts w:ascii="Times New Roman" w:hAnsi="Times New Roman"/>
                <w:sz w:val="24"/>
              </w:rPr>
            </w:pPr>
            <w:r>
              <w:rPr>
                <w:rFonts w:ascii="Times New Roman" w:hAnsi="Times New Roman"/>
                <w:kern w:val="0"/>
                <w:sz w:val="24"/>
                <w:lang w:bidi="ar"/>
              </w:rPr>
              <w:t>新时代“00后定藏师范生”全学程思想政治教育培育模式研究</w:t>
            </w:r>
          </w:p>
        </w:tc>
        <w:tc>
          <w:tcPr>
            <w:tcW w:w="1047"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凌海华</w:t>
            </w:r>
          </w:p>
        </w:tc>
        <w:tc>
          <w:tcPr>
            <w:tcW w:w="136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bl>
    <w:p>
      <w:pPr>
        <w:spacing w:line="560" w:lineRule="exact"/>
        <w:ind w:firstLine="0"/>
        <w:rPr>
          <w:rFonts w:eastAsia="仿宋_GB2312"/>
          <w:color w:val="000000"/>
          <w:sz w:val="28"/>
          <w:szCs w:val="28"/>
        </w:rPr>
      </w:pPr>
      <w:r>
        <w:rPr>
          <w:rFonts w:eastAsia="仿宋_GB2312"/>
          <w:color w:val="000000"/>
          <w:sz w:val="28"/>
          <w:szCs w:val="28"/>
        </w:rPr>
        <w:t>注：D类项目为省委教育工委授权湖南省高等学校思想政治教育研究会评审推荐。</w:t>
      </w:r>
    </w:p>
    <w:p>
      <w:pPr>
        <w:spacing w:line="560" w:lineRule="exact"/>
        <w:ind w:firstLine="640" w:firstLineChars="200"/>
        <w:rPr>
          <w:rFonts w:eastAsia="黑体"/>
          <w:sz w:val="32"/>
          <w:szCs w:val="32"/>
        </w:rPr>
      </w:pPr>
      <w:r>
        <w:rPr>
          <w:rFonts w:eastAsia="黑体"/>
          <w:sz w:val="32"/>
          <w:szCs w:val="32"/>
        </w:rPr>
        <w:t>四、思想政治理论课教研专项项目（71项）</w:t>
      </w:r>
    </w:p>
    <w:tbl>
      <w:tblPr>
        <w:tblStyle w:val="4"/>
        <w:tblW w:w="14360" w:type="dxa"/>
        <w:jc w:val="center"/>
        <w:tblLayout w:type="fixed"/>
        <w:tblCellMar>
          <w:top w:w="0" w:type="dxa"/>
          <w:left w:w="108" w:type="dxa"/>
          <w:bottom w:w="0" w:type="dxa"/>
          <w:right w:w="108" w:type="dxa"/>
        </w:tblCellMar>
      </w:tblPr>
      <w:tblGrid>
        <w:gridCol w:w="923"/>
        <w:gridCol w:w="3373"/>
        <w:gridCol w:w="7655"/>
        <w:gridCol w:w="1009"/>
        <w:gridCol w:w="1400"/>
      </w:tblGrid>
      <w:tr>
        <w:tblPrEx>
          <w:tblCellMar>
            <w:top w:w="0" w:type="dxa"/>
            <w:left w:w="108" w:type="dxa"/>
            <w:bottom w:w="0" w:type="dxa"/>
            <w:right w:w="108" w:type="dxa"/>
          </w:tblCellMar>
        </w:tblPrEx>
        <w:trPr>
          <w:trHeight w:val="482" w:hRule="atLeast"/>
          <w:tblHeader/>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left="-141" w:leftChars="-67" w:right="-107" w:rightChars="-51"/>
              <w:jc w:val="center"/>
              <w:rPr>
                <w:rFonts w:ascii="Times New Roman" w:hAnsi="Times New Roman"/>
                <w:b/>
                <w:bCs/>
                <w:kern w:val="0"/>
                <w:sz w:val="24"/>
              </w:rPr>
            </w:pPr>
            <w:r>
              <w:rPr>
                <w:rFonts w:ascii="Times New Roman" w:hAnsi="Times New Roman"/>
                <w:b/>
                <w:bCs/>
                <w:kern w:val="0"/>
                <w:sz w:val="24"/>
              </w:rPr>
              <w:t>编号</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firstLine="19" w:firstLineChars="8"/>
              <w:jc w:val="center"/>
              <w:rPr>
                <w:rFonts w:ascii="Times New Roman" w:hAnsi="Times New Roman"/>
                <w:b/>
                <w:bCs/>
                <w:kern w:val="0"/>
                <w:sz w:val="24"/>
              </w:rPr>
            </w:pPr>
            <w:r>
              <w:rPr>
                <w:rFonts w:ascii="Times New Roman" w:hAnsi="Times New Roman"/>
                <w:b/>
                <w:bCs/>
                <w:kern w:val="0"/>
                <w:sz w:val="24"/>
              </w:rPr>
              <w:t>高校名称</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项目名称</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主持人</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经费</w:t>
            </w:r>
          </w:p>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（万元）</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习近平总体国家安全观视域下大学生安全教育问题研究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陈佳</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“四史”课程实践教学创新研究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李伏清</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党史教育有机融入“原理”课教学研究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刘菁</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南华大学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新时代大学与高中思政课教学协同衔接研究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李忆华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“红船精神”融入高校思想政治理论课教学研究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王敏华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衡阳师范学院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中国共产党百年革命文化融入高校思政课教学体系研究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黄小云</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湖南城市学院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《毛泽东思想和中国特色社会主义理论体系概论》课程学习共同体建设研究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刘卓</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邵阳学院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高校思政课“四史”教学对大学生政治信仰的引领力研究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谢文娟</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21E09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科学家精神融入高校思想政治理论课教学研究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袁术林</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制度自信教育融入高校思想政治理论课教学的路径研究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邓怡舟</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“四史”教育融入思想政治理论课教学路径研究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龙井仁</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湖南人文科技学院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供给侧改革视域下高校思政课教学质量提升策略研究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陈灿芬</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湖南涉外经济学院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新时代民办高校思想政治理论课教学中意识形态风险防控研究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刘建中</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新时代高校思政课“精准滴灌式”教学改革研究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廖 阔</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三位视角的高校思想政治理论课教学方法创新研究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何玮</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482"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湖南信息学院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思政课用好红色资源涵育大学生政治信仰的实践路径研究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颜福维</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湖南应用技术学院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“四史”教育融入应用型高校思政课教学的路径研究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刘金娥</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湘南幼儿师范高等专科学校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基于培育青年理想信念的思政课混合式学习模式研究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刘敏</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21E19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怀化师范高等专科学校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新时代高校思想政治理论课教学话语体系转换研究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杨礼俊</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湖南铁道职业技术学院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习近平法治思想引领下高职学生法治素养的提升路径研究</w:t>
            </w:r>
            <w:r>
              <w:rPr>
                <w:rFonts w:ascii="Times New Roman" w:hAnsi="Times New Roman"/>
                <w:kern w:val="0"/>
                <w:sz w:val="24"/>
                <w:lang w:bidi="ar"/>
              </w:rPr>
              <w:br w:type="textWrapping"/>
            </w:r>
            <w:r>
              <w:rPr>
                <w:rFonts w:ascii="Times New Roman" w:hAnsi="Times New Roman"/>
                <w:kern w:val="0"/>
                <w:sz w:val="24"/>
                <w:lang w:bidi="ar"/>
              </w:rPr>
              <w:t>——以《思想道德修养与法律基础》课程为例</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龙银</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湖南交通职业技术学院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红色文化视域下高校“移动”思政课堂“三三制”教学模式研究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周凤妮</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四史”教育融入高校思想政治理论课的实践与探索</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李芳佳</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湖南大众传媒职业技术学院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“抗疫社会大课堂”融入高校“思政小课堂”的路径探析</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黄海丰</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湖南工艺美术职业学院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党史教育融入艺术设计类高校思政课实践教学研究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李蓉</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娄底职业技术学院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基于“大思政课”理念的高职思政课教学改革创新研究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辜桃</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湖南环境生物职业技术学院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生态文明教育融入高校思政课教学路径研究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孙曜</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岳阳职业技术学院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基于体验式的高职思政课实践教学模式研究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田犇</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湖南现代物流职业技术学院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高职院校依托“四史”教育警惕和抵制历史虚无主义的实践研究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李志星</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21E29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湖南信息职业技术学院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百年党史故事融入高职思政课教学的研究与实践</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杨玉霜</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湖南艺术职业学院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“四史”融入艺术院校思政课教学路径研究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王玉晴</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湖南外贸职业学院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湖湘红色资源融入高校思政课教学的路径探究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邓珊</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湖南机电职业技术学院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高职思政课“四史”实践教学双元驱动“三教”改革探索与研究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聂菁</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湖南商务职业技术学院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习近平劳动观教育在高职院校的实现路径与策略研究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谭星</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湖南工程职业技术学院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新媒体视域下湖湘红色故事在高职院校思政理论课中运用研究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贾瑜</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长沙商贸旅游职业技术学院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“四史”教育融入高职院校思想政治理论课教学与实践研究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陈桂林</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湖南汽车工程职业学院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基于现代信息技术的高职思想政治理论课教师教学创新能力培养研究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谭慧</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湖南铁路科技职业技术学院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“四史”教育融入高职思政课教学的问题与对策研究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仉慧卿</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湖南财经工业职业技术学院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新时代高校思政课“思辨课堂‘五思五辨’”教学模式构建研究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徐东</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21E39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湖南电气职业技术学院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湖南红色基因融入高校思想政治理论课教学的路径研究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钟利琼</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张家界航空工业职业技术学院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“四史”教育融入高职思想政治理论课的价值意蕴与实现路径研究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湖南民族职业学院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“四个自信”教育融入高职院校思想政治理论课教学研究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王永</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湖南软件职业技术大学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本科层次职业教育中思政课程的守正创新研究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贺彩霞</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湖南水利水电职业技术学院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以讲好中国故事为引领的高职思政课教学模式创新研究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谢费斯</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保险职业学院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湖南红色文化融入高校思想政治理论课教学的路径与机制研究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刘亦明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湘潭医卫职业技术学院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“四史”学习融入高职概论课教学研究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张映明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以学为中心的“概论”课混合学习模式课程建设研究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王锡军</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长沙南方职业学院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新时代民办高职院校思想政治理论课实践教学的现实困境与突破策略研究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陈田</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潇湘职业学院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民办高职大学生思想政治理论课心理定势研究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袁志友</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21E49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湖南石油化工职业技术学院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“三位一体、两两联动”的“行走”思政课堂实践教学模式构建研究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陈辉</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湖南理工职业技术学院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百年党史中“英雄”主题融入高校思政课研究与实践</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黄国庆</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湖南外国语职业学院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抗疫精神融入高校思想政治理论课教学的策略与路径研究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刘平</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长沙卫生职业学院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讲好红色故事视角下高职思政课教学效果提升研究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韩丹丹</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湖南食品药品职业学院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高职院校思政课任务驱动式“双主体”教学模式的探索与实践</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谭秋霞</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新时代大中小学思政课一体化机制构建研究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谭吉华</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大中小思政课一体化集体备课体制机制研究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宋婧</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长沙理工大学（大中小学一体化集体备课项目）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大中小思政课“手拉手”一体化集体备课协同机制研究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陈万球</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湖南农业大学（大中小学一体化集体备课项目）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统筹推进大中小思政课一体化建设路径与策略研究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张云英</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湖南中医药大学（大中小学一体化集体备课项目）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中国梦融入大中小思政课一体化备课研究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叶利军</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527"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21E59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南华大学（大中小学一体化集体备课项目）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新时代地方性大中小学思政课教学一体化机制建设研究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张峰林</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大中小学思政课一体化中的理想信念教育研究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黄爱英</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“同城异段.同课异师.同题异构”推进大中小学思政课一体化集体备课实践研究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李正军</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湖南工商大学（大中小学一体化集体备课项目）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湖南工商大学大中小学思政课“手拉手”集体备课研究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聂智</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衡阳师范学院（大中小学一体化集体备课项目）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大中小学思政课“手拉手”一体化集体备课研究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宋建丽</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湖南文理学院（大中小学一体化集体备课项目）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大学携手小学共建思政师资和课程资源的实践探索</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黄向阳</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湖南城市学院（大中小学一体化集体备课项目）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大中小学思政课一体化教学改革创新联合体研究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夏建文</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邵阳学院（大中小学一体化集体备课项目）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邵阳市大中小学协同党史教育融入思政课的研究与实践</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彭忠信</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怀化市大中小学思想政治理论课“手拉手”一体化集体备课模式探究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何其鑫</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地方红色文化融入永州市大中小学思政课一体化建设研究与实践</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廖雅琴</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21E69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红色基因融入思政课贯通式教育研究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廖义军</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21E70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湖南人文科技学院（大中小学一体化集体备课项目）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地方高校中小学思政课一体化教学衔接的研究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杨国辉</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r>
        <w:tblPrEx>
          <w:tblCellMar>
            <w:top w:w="0" w:type="dxa"/>
            <w:left w:w="108" w:type="dxa"/>
            <w:bottom w:w="0" w:type="dxa"/>
            <w:right w:w="108" w:type="dxa"/>
          </w:tblCellMar>
        </w:tblPrEx>
        <w:trPr>
          <w:trHeight w:val="67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21E71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湖南第一师范学院（大中小学一体化集体备课项目）</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红色基因引领大中小学思想政治理论课一体化课程建设研究</w:t>
            </w:r>
          </w:p>
        </w:tc>
        <w:tc>
          <w:tcPr>
            <w:tcW w:w="1009"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肖彦</w:t>
            </w:r>
          </w:p>
        </w:tc>
        <w:tc>
          <w:tcPr>
            <w:tcW w:w="1400"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4</w:t>
            </w:r>
          </w:p>
        </w:tc>
      </w:tr>
    </w:tbl>
    <w:p>
      <w:pPr>
        <w:spacing w:line="560" w:lineRule="exact"/>
        <w:ind w:firstLine="640" w:firstLineChars="200"/>
        <w:rPr>
          <w:rFonts w:eastAsia="黑体"/>
          <w:sz w:val="32"/>
          <w:szCs w:val="32"/>
        </w:rPr>
      </w:pPr>
      <w:r>
        <w:rPr>
          <w:rFonts w:eastAsia="黑体"/>
          <w:sz w:val="32"/>
          <w:szCs w:val="32"/>
        </w:rPr>
        <w:t>五、辅导员骨干专项项目（82项）</w:t>
      </w:r>
    </w:p>
    <w:tbl>
      <w:tblPr>
        <w:tblStyle w:val="4"/>
        <w:tblW w:w="14255" w:type="dxa"/>
        <w:jc w:val="center"/>
        <w:tblLayout w:type="fixed"/>
        <w:tblCellMar>
          <w:top w:w="0" w:type="dxa"/>
          <w:left w:w="108" w:type="dxa"/>
          <w:bottom w:w="0" w:type="dxa"/>
          <w:right w:w="108" w:type="dxa"/>
        </w:tblCellMar>
      </w:tblPr>
      <w:tblGrid>
        <w:gridCol w:w="959"/>
        <w:gridCol w:w="3373"/>
        <w:gridCol w:w="7655"/>
        <w:gridCol w:w="1275"/>
        <w:gridCol w:w="993"/>
      </w:tblGrid>
      <w:tr>
        <w:tblPrEx>
          <w:tblCellMar>
            <w:top w:w="0" w:type="dxa"/>
            <w:left w:w="108" w:type="dxa"/>
            <w:bottom w:w="0" w:type="dxa"/>
            <w:right w:w="108" w:type="dxa"/>
          </w:tblCellMar>
        </w:tblPrEx>
        <w:trPr>
          <w:trHeight w:val="465" w:hRule="atLeast"/>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left="-141" w:leftChars="-67" w:right="-78" w:rightChars="-37"/>
              <w:jc w:val="center"/>
              <w:rPr>
                <w:rFonts w:ascii="Times New Roman" w:hAnsi="Times New Roman"/>
                <w:b/>
                <w:bCs/>
                <w:kern w:val="0"/>
                <w:sz w:val="24"/>
              </w:rPr>
            </w:pPr>
            <w:r>
              <w:rPr>
                <w:rFonts w:ascii="Times New Roman" w:hAnsi="Times New Roman"/>
                <w:b/>
                <w:bCs/>
                <w:kern w:val="0"/>
                <w:sz w:val="24"/>
              </w:rPr>
              <w:t>编号</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firstLine="19" w:firstLineChars="8"/>
              <w:jc w:val="center"/>
              <w:rPr>
                <w:rFonts w:ascii="Times New Roman" w:hAnsi="Times New Roman"/>
                <w:b/>
                <w:bCs/>
                <w:kern w:val="0"/>
                <w:sz w:val="24"/>
              </w:rPr>
            </w:pPr>
            <w:r>
              <w:rPr>
                <w:rFonts w:ascii="Times New Roman" w:hAnsi="Times New Roman"/>
                <w:b/>
                <w:bCs/>
                <w:kern w:val="0"/>
                <w:sz w:val="24"/>
              </w:rPr>
              <w:t>高校名称</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项目名称</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主持人</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经费</w:t>
            </w:r>
          </w:p>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（万元）</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新时代辅导员工作视域下大学生学风教育路径优化研究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杨凌云</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习近平总书记关于榜样学习重要论述融入高校思政工作的研究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孙鲁霞</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高校体验式党史学习教育路径研究——以湖南高校师生传唱红歌为例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郭书畅</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表达艺术团体心理辅导提升高校学生干部抗逆力的实证研究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余洁</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新时代高校辅导员讲好“党史故事”路径创新研究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史崧正</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有留守经历大学生心理资本影响机制与提升路径研究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陈蔓莉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长沙理工大学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高校“三全育人”实效性评价路径研究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李永睿</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湖南农业大学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新时代高校辅导员职业道德评价体系构建研究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朱育锋</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21F09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湖南农业大学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全面推进乡村振兴背景下高校实践育人协同创新机制研究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赵文力</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新时代大学生劳动教育的思想政治教育功能研究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曾晓峰</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中南林业科技大学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融媒体背景下红色音乐文化融入高校学生思想政治教育研究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唐逸恬</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湖南中医药大学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高校学生党员身份意识引导力研究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朱洪慧</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湖南中医药大学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新时代高校学生党员党性修养评价指标体系研究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南华大学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新时代湖湘“红色基因”融入大学生思想政治教育模式创新研究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孙越龙</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新时代大学生劳动教育社会实践范式研究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皮祖训</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稳就业新形势下化解大学生结构性就业矛盾的多维路径研究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陈攀</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吉首大学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湖南民族地区红色资源可达性与爱国主义教育实践利用研究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唐业喜</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吉首大学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“三全育人”视域下高校辅导员的育人定位与实现路径研究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彭立平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21F19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《大学生心理健康教育》翻转课堂应用研究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钟景璐</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湖南工商大学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生态系统理论视域下的“GPC”心理育人模式构建研究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莫碧娟</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湖南理工学院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基于大数据的大学生心理健康问题早期发现与科学干预研究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单芳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湖南理工学院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将党史学习教育融入高校大学生思想政治教育的路径研究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李紫薇</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衡阳师范学院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新时代增强大学生政治认同研究——以湖南省3所高校为例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阳宏润</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衡阳师范学院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高校辅导员“云思政”育人实践与路径研究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黎兆萍</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湖南文理学院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乡村振兴战略下家国情怀培育引导大学生基层就业的研究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邓俊</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湖南工程学院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思政元素融入“343式”大学生创新创业教育体系的实践研究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刘洁</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湖南工程学院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湖南红色音乐融入新时代大学生日常思想政治教育的实践路径研究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曾依依</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湖南城市学院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湖湘红色文化融入中外合作办学项目大学生思想政治教育研究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李柏</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21F29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邵阳学院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“三全育人”视域下“四史”教育融入大学生思想政治教育研究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蔡玉梅</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大学生“佛系”心理校正干预的“SFBT”技术应用研究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桂艳萍</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怀化学院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运用短视频直播“微爱矩阵”创新大学生思想政治教育</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谌佳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湘南红色文化在地方型本科院校大学生心理健康教育中的传承与创新</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基艳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“微”时代湘南红色文化融入大学生思想政治工作探析</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李君智</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湘南学院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地方性本科高校大学生慢就业心理分析及对策研究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欧阳丽桃</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湖南人文科技学院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高校基层学生党组织组织力提升的影响因素及策略研究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欧阳纯晶</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以党史故事为载体的高校思政教育创新路径研究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刘敏</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从湘籍党史人物中汲取精神力量培育大学生党员政治忠诚研究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史雨琛</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湖南涉外经济学院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pacing w:val="-6"/>
                <w:sz w:val="24"/>
              </w:rPr>
            </w:pPr>
            <w:r>
              <w:rPr>
                <w:rFonts w:ascii="Times New Roman" w:hAnsi="Times New Roman"/>
                <w:spacing w:val="-6"/>
                <w:kern w:val="0"/>
                <w:sz w:val="24"/>
                <w:lang w:bidi="ar"/>
              </w:rPr>
              <w:t>“三全育人”视域下思政教育与大学生创新创业教育协同育人模式研究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刘丽娟</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21F39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长沙医学院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高校辅导员思想政治教育淬炼与法治思维培养研究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李兵</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新时代高校心理育人质量提升研究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谭进</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4"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湖南第一师范学院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“四史”学习教育融入高校思想政治教育的实现路径研究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唐科</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湖南财政经济学院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财经类高校毕业生“慢就业”现象及应对策略研究——以湖南某高校为例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袁仕远</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湖南财政经济学院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自媒体视角下大学生爱国主义教育路径研究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张长江</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长沙师范学院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乡村振兴背景下农村公费定向师范生传承徐特立教育思想的路径研究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尹畅</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湖南医药学院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红歌融入大学生党史学习教育研究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武芳英</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湖南医药学院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华佗五禽戏对轻度心理问题医学生的干预研究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姜俊</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湖南应用技术学院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积极心理学视域下大学生心理健康教育课程建设研究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刘红亚</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湖南网络工程职业学院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高职院校“三融合”协同育人路径研究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彭玉京</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21F49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湖南中医药高等专科学校</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新时代高职院校劳动教育与心理健康教育的融合发展研究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凌瑞</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持续百万扩招背景下高职院校社会生源学生的心理适应性研究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杨迪禹</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人工智能背景下高职学生劳动教育模式创新研究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阳琼敏</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“三全育人”视域下高职院校“四史”教育实施路径研究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易查方</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湖南环境生物职业技术学院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基于“大德育”理念下的高校创新创业教育改革路径研究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方燕</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长沙航空职业技术学院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高职院校学生顶岗实习安全教育管理策略研究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李灿阳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长沙航空职业技术学院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面向定向士官的《大学生心理健康教育》课程思政研究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彭熙</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湖南生物机电职业技术学院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“三全育人”背景下涉农高职院校网络思想政治教育内化体系的设计及实践策略研究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刚良</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长沙环境保护职业技术学院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基于积极心理学视角下高职专业课课程思政教育研究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杜娟</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岳阳职业技术学院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新时代高校大学生主体性与提高就业创业能力策略研究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刘小平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21F59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湖南艺术职业学院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“三全育人”联动机制研究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吕林蓉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常德职业技术学院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“大数据”视域下高校思政类短视频平台的创新构建——以湖南高校官方抖音为例</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曾炜光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湖南机电职业技术学院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‘三全育人’视阈下“辅导员+导师”联合育人机制探究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宋利敏</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湖南商务职业技术学院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人的全面发展视角下高职劳动教育融入大学生日常管理研究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候妍竹</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湖南工程职业技术学院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后疫情时代高职院校“六位一体”网络舆情管理机制研究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汪珊</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湖南工程职业技术学院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立德树人视域下高校辅导员马克思主义信仰引导力提升路径研究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郭媛</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长沙商贸旅游职业技术学院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曲艺视域下高职学生党史学习教育创新路径研究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杨文辉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508"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湖南铁路科技职业技术学院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“供体、 受体、载体”三位一体理念下辅导员学生管理工作机制构建研究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张园园</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湖南城建职业技术学院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基于易班平台的心理育人“三聚”模式构建</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李银春</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湖南城建职业技术学院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基于大数据模型的高职院校学生心理危机精准干预模式研究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丁璐</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21F69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郴州职业技术学院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基于学生需求视角的高职顶岗实习生心理健康服务体系设计</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王丽平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pacing w:val="-6"/>
                <w:sz w:val="24"/>
              </w:rPr>
            </w:pPr>
            <w:r>
              <w:rPr>
                <w:rFonts w:ascii="Times New Roman" w:hAnsi="Times New Roman"/>
                <w:kern w:val="0"/>
                <w:sz w:val="24"/>
                <w:lang w:bidi="ar"/>
              </w:rPr>
              <w:t>湖南财经工业职业技术学院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新时代背景下思政教育与劳动教育协同育人的实践研究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唐小桃</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湖南财经工业职业技术学院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基于湖南省高校的先进模范群体进校园开展思想政治教育机制研究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娄芳芳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湖南电气职业技术学院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类型教育视域下高职学生职业心理素质培育的实证研究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万秋红</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21F73</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湖南电气职业技术学院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党史教育融入大学生思政教育的政治逻辑及路径创新研究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马灵秀</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21F74</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湖南司法警官职业学院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融媒体时代高校主流意识形态传播的效能提升研究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杨晖</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21F75</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湖南软件职业技术大学</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“00后”大学生劳动观特征及教育引导研究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龚梅萍</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21F76</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湘潭医卫职业技术学院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利用湘潭红色文化开展大学生思想政治教育研究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袁贲</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21F77</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长沙南方职业学院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思想政治理论课教师与辅导员协同育人研究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欧阳日平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21F78</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潇湘职业学院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高职院校学生素质养成教育机制研究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石密</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21F79</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湖南安全技术职业学院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pacing w:val="-6"/>
                <w:sz w:val="24"/>
              </w:rPr>
            </w:pPr>
            <w:r>
              <w:rPr>
                <w:rFonts w:ascii="Times New Roman" w:hAnsi="Times New Roman"/>
                <w:spacing w:val="-6"/>
                <w:kern w:val="0"/>
                <w:sz w:val="24"/>
                <w:lang w:bidi="ar"/>
              </w:rPr>
              <w:t>家庭经济困难大学生“心理贫困”现状及“心理脱贫”对策的纵向研究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陈琳</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21F80</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长沙卫生职业学院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pacing w:val="-6"/>
                <w:sz w:val="24"/>
              </w:rPr>
            </w:pPr>
            <w:r>
              <w:rPr>
                <w:rFonts w:ascii="Times New Roman" w:hAnsi="Times New Roman"/>
                <w:spacing w:val="-6"/>
                <w:kern w:val="0"/>
                <w:sz w:val="24"/>
                <w:lang w:bidi="ar"/>
              </w:rPr>
              <w:t>时代新人视域下医卫类高职学生“责任与担当”意识培育体系构建研究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李扬</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21F81</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湖南有色金属职业技术学院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pacing w:val="-6"/>
                <w:sz w:val="24"/>
              </w:rPr>
            </w:pPr>
            <w:r>
              <w:rPr>
                <w:rFonts w:ascii="Times New Roman" w:hAnsi="Times New Roman"/>
                <w:spacing w:val="-6"/>
                <w:kern w:val="0"/>
                <w:sz w:val="24"/>
                <w:lang w:bidi="ar"/>
              </w:rPr>
              <w:t>“三全育人”格局下辅导员基于“四史”推进理想信念教育常态化研究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承湘宇</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6"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21F82</w:t>
            </w:r>
          </w:p>
        </w:tc>
        <w:tc>
          <w:tcPr>
            <w:tcW w:w="33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湖南吉利汽车职业技术学院</w:t>
            </w:r>
          </w:p>
        </w:tc>
        <w:tc>
          <w:tcPr>
            <w:tcW w:w="765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高校学生自控力训练研究</w:t>
            </w:r>
          </w:p>
        </w:tc>
        <w:tc>
          <w:tcPr>
            <w:tcW w:w="1275"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胡雨蓉</w:t>
            </w:r>
          </w:p>
        </w:tc>
        <w:tc>
          <w:tcPr>
            <w:tcW w:w="993"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bl>
    <w:p>
      <w:pPr>
        <w:spacing w:line="560" w:lineRule="exact"/>
        <w:ind w:firstLine="560"/>
        <w:rPr>
          <w:rFonts w:eastAsia="仿宋_GB2312"/>
          <w:color w:val="000000"/>
          <w:sz w:val="28"/>
          <w:szCs w:val="28"/>
        </w:rPr>
      </w:pPr>
      <w:r>
        <w:rPr>
          <w:rFonts w:eastAsia="黑体"/>
          <w:sz w:val="32"/>
          <w:szCs w:val="32"/>
        </w:rPr>
        <w:t>六、安全稳定工作专项项目（13项）</w:t>
      </w:r>
    </w:p>
    <w:tbl>
      <w:tblPr>
        <w:tblStyle w:val="4"/>
        <w:tblW w:w="14397" w:type="dxa"/>
        <w:jc w:val="center"/>
        <w:tblLayout w:type="fixed"/>
        <w:tblCellMar>
          <w:top w:w="0" w:type="dxa"/>
          <w:left w:w="108" w:type="dxa"/>
          <w:bottom w:w="0" w:type="dxa"/>
          <w:right w:w="108" w:type="dxa"/>
        </w:tblCellMar>
      </w:tblPr>
      <w:tblGrid>
        <w:gridCol w:w="959"/>
        <w:gridCol w:w="3385"/>
        <w:gridCol w:w="7656"/>
        <w:gridCol w:w="1121"/>
        <w:gridCol w:w="1276"/>
      </w:tblGrid>
      <w:tr>
        <w:tblPrEx>
          <w:tblCellMar>
            <w:top w:w="0" w:type="dxa"/>
            <w:left w:w="108" w:type="dxa"/>
            <w:bottom w:w="0" w:type="dxa"/>
            <w:right w:w="108" w:type="dxa"/>
          </w:tblCellMar>
        </w:tblPrEx>
        <w:trPr>
          <w:trHeight w:val="623" w:hRule="atLeast"/>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left="-141" w:leftChars="-67" w:right="-78" w:rightChars="-37"/>
              <w:jc w:val="center"/>
              <w:rPr>
                <w:rFonts w:ascii="Times New Roman" w:hAnsi="Times New Roman"/>
                <w:b/>
                <w:bCs/>
                <w:kern w:val="0"/>
                <w:sz w:val="24"/>
              </w:rPr>
            </w:pPr>
            <w:r>
              <w:rPr>
                <w:rFonts w:ascii="Times New Roman" w:hAnsi="Times New Roman"/>
                <w:b/>
                <w:bCs/>
                <w:kern w:val="0"/>
                <w:sz w:val="24"/>
              </w:rPr>
              <w:t>编号</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ind w:firstLine="19" w:firstLineChars="8"/>
              <w:jc w:val="center"/>
              <w:rPr>
                <w:rFonts w:ascii="Times New Roman" w:hAnsi="Times New Roman"/>
                <w:b/>
                <w:bCs/>
                <w:kern w:val="0"/>
                <w:sz w:val="24"/>
              </w:rPr>
            </w:pPr>
            <w:r>
              <w:rPr>
                <w:rFonts w:ascii="Times New Roman" w:hAnsi="Times New Roman"/>
                <w:b/>
                <w:bCs/>
                <w:kern w:val="0"/>
                <w:sz w:val="24"/>
              </w:rPr>
              <w:t>高校名称</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项目名称</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主持人</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ind w:left="-141" w:leftChars="-67"/>
              <w:jc w:val="center"/>
              <w:rPr>
                <w:rFonts w:ascii="Times New Roman" w:hAnsi="Times New Roman"/>
                <w:b/>
                <w:bCs/>
                <w:kern w:val="0"/>
                <w:sz w:val="24"/>
              </w:rPr>
            </w:pPr>
            <w:r>
              <w:rPr>
                <w:rFonts w:ascii="Times New Roman" w:hAnsi="Times New Roman"/>
                <w:b/>
                <w:bCs/>
                <w:kern w:val="0"/>
                <w:sz w:val="24"/>
              </w:rPr>
              <w:t>经费</w:t>
            </w:r>
          </w:p>
          <w:p>
            <w:pPr>
              <w:widowControl/>
              <w:snapToGrid w:val="0"/>
              <w:ind w:left="-141" w:leftChars="-67"/>
              <w:jc w:val="center"/>
              <w:rPr>
                <w:rFonts w:ascii="Times New Roman" w:hAnsi="Times New Roman"/>
                <w:b/>
                <w:bCs/>
                <w:kern w:val="0"/>
                <w:sz w:val="24"/>
              </w:rPr>
            </w:pPr>
            <w:r>
              <w:rPr>
                <w:rFonts w:ascii="Times New Roman" w:hAnsi="Times New Roman"/>
                <w:b/>
                <w:bCs/>
                <w:kern w:val="0"/>
                <w:sz w:val="24"/>
              </w:rPr>
              <w:t>（万元）</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21G01</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湖南科技大学</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现代化新湖南建设背景下高校“平安校园”应急处突模式研究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沈智祥</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kern w:val="0"/>
                <w:sz w:val="24"/>
              </w:rPr>
              <w:t>4（创新）</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21G02</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湖南工业职业技术学院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本科层次职业院校安全管理体系构建与实践研究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杨晨</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kern w:val="0"/>
                <w:sz w:val="24"/>
              </w:rPr>
              <w:t>4（创新）</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21G03</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中南大学</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高校应急能力的生成机制与综合提升路径研究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张桂蓉</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21G04</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新媒体时代高校突发事件危机管理研究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张义</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21G05</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湖南师范大学</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全媒体时代大学生总体国家安全观精准教育研究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龚曦</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21G06</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衡阳师范学院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新媒体视域下大学生国家安全意识培养与实践研究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齐春媚</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21G07</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湖南第一师范学院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高校应对疫情风险的常态化防控机制研究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罗燕</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21G08</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湖南财政经济学院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学生干部有效参与高校安全稳定工作研究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孙颂丰</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21G09</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长沙师范学院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“三全育人”视阈下地方高校安全教育实效性路径研究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刘萍</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21G10</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湖南信息职业技术学院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大数据时代高职学生网络意识形态安全教育的路径研究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王小金</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6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21G11</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长沙商贸旅游职业技术学院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总体国家安全观下高职院校学生职业安全素质培养路径研究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陈依鹏</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color w:val="000000"/>
                <w:kern w:val="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9"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21G12</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湖南化工职业技术学院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新冠肺炎疫情防控常态化背景下职业院校安全维稳教育“三结合”模式的研究</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鄢东</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r>
        <w:tblPrEx>
          <w:tblCellMar>
            <w:top w:w="0" w:type="dxa"/>
            <w:left w:w="108" w:type="dxa"/>
            <w:bottom w:w="0" w:type="dxa"/>
            <w:right w:w="108" w:type="dxa"/>
          </w:tblCellMar>
        </w:tblPrEx>
        <w:trPr>
          <w:trHeight w:val="479"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bottom"/>
              <w:rPr>
                <w:rFonts w:ascii="Times New Roman" w:hAnsi="Times New Roman"/>
                <w:sz w:val="24"/>
              </w:rPr>
            </w:pPr>
            <w:r>
              <w:rPr>
                <w:rFonts w:ascii="Times New Roman" w:hAnsi="Times New Roman"/>
                <w:color w:val="000000"/>
                <w:kern w:val="0"/>
                <w:sz w:val="24"/>
                <w:lang w:bidi="ar"/>
              </w:rPr>
              <w:t>21G13</w:t>
            </w:r>
          </w:p>
        </w:tc>
        <w:tc>
          <w:tcPr>
            <w:tcW w:w="33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湖南电气职业技术学院</w:t>
            </w:r>
          </w:p>
        </w:tc>
        <w:tc>
          <w:tcPr>
            <w:tcW w:w="7656"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both"/>
              <w:rPr>
                <w:rFonts w:ascii="Times New Roman" w:hAnsi="Times New Roman"/>
                <w:sz w:val="24"/>
              </w:rPr>
            </w:pPr>
            <w:r>
              <w:rPr>
                <w:rFonts w:ascii="Times New Roman" w:hAnsi="Times New Roman"/>
                <w:kern w:val="0"/>
                <w:sz w:val="24"/>
                <w:lang w:bidi="ar"/>
              </w:rPr>
              <w:t>高职学生职业安全素养体系研究与实践</w:t>
            </w:r>
          </w:p>
        </w:tc>
        <w:tc>
          <w:tcPr>
            <w:tcW w:w="1121" w:type="dxa"/>
            <w:tcBorders>
              <w:top w:val="single" w:color="auto" w:sz="4" w:space="0"/>
              <w:left w:val="nil"/>
              <w:bottom w:val="single" w:color="auto" w:sz="4" w:space="0"/>
              <w:right w:val="single" w:color="auto" w:sz="4" w:space="0"/>
            </w:tcBorders>
            <w:shd w:val="clear" w:color="auto" w:fill="FFFFFF"/>
            <w:noWrap w:val="0"/>
            <w:vAlign w:val="center"/>
          </w:tcPr>
          <w:p>
            <w:pPr>
              <w:widowControl/>
              <w:snapToGrid w:val="0"/>
              <w:jc w:val="center"/>
              <w:rPr>
                <w:rFonts w:ascii="Times New Roman" w:hAnsi="Times New Roman"/>
                <w:sz w:val="24"/>
              </w:rPr>
            </w:pPr>
            <w:r>
              <w:rPr>
                <w:rFonts w:ascii="Times New Roman" w:hAnsi="Times New Roman"/>
                <w:kern w:val="0"/>
                <w:sz w:val="24"/>
                <w:lang w:bidi="ar"/>
              </w:rPr>
              <w:t>路成志</w:t>
            </w:r>
          </w:p>
        </w:tc>
        <w:tc>
          <w:tcPr>
            <w:tcW w:w="1276" w:type="dxa"/>
            <w:tcBorders>
              <w:top w:val="single" w:color="auto" w:sz="4" w:space="0"/>
              <w:left w:val="nil"/>
              <w:bottom w:val="single" w:color="auto" w:sz="4" w:space="0"/>
              <w:right w:val="single" w:color="auto" w:sz="4" w:space="0"/>
            </w:tcBorders>
            <w:shd w:val="clear" w:color="auto" w:fill="FFFFFF"/>
            <w:noWrap w:val="0"/>
            <w:vAlign w:val="center"/>
          </w:tcPr>
          <w:p>
            <w:pPr>
              <w:snapToGrid w:val="0"/>
              <w:jc w:val="center"/>
              <w:rPr>
                <w:rFonts w:ascii="Times New Roman" w:hAnsi="Times New Roman"/>
                <w:color w:val="000000"/>
                <w:sz w:val="24"/>
              </w:rPr>
            </w:pPr>
            <w:r>
              <w:rPr>
                <w:rFonts w:ascii="Times New Roman" w:hAnsi="Times New Roman"/>
                <w:color w:val="000000"/>
                <w:sz w:val="24"/>
              </w:rPr>
              <w:t>2</w:t>
            </w: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rFonts w:hint="default"/>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 xml:space="preserve"> </w:t>
    </w:r>
    <w:r>
      <w:rPr>
        <w:rFonts w:hint="default"/>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EF84F"/>
    <w:multiLevelType w:val="singleLevel"/>
    <w:tmpl w:val="77FEF8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92530"/>
    <w:rsid w:val="59B93767"/>
    <w:rsid w:val="5A906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11838</Words>
  <Characters>13047</Characters>
  <Lines>0</Lines>
  <Paragraphs>0</Paragraphs>
  <TotalTime>46</TotalTime>
  <ScaleCrop>false</ScaleCrop>
  <LinksUpToDate>false</LinksUpToDate>
  <CharactersWithSpaces>13050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2021-09-01T02:43:00Z</dcterms:created>
  <dc:creator>admin</dc:creator>
  <cp:lastModifiedBy>冯首伟</cp:lastModifiedBy>
  <dcterms:modified xsi:type="dcterms:W3CDTF">2021-09-01T03:36:35Z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409738418_cloud</vt:lpwstr>
  </property>
  <property fmtid="{D5CDD505-2E9C-101B-9397-08002B2CF9AE}" pid="4" name="ICV">
    <vt:lpwstr>B6D1EB8F0B964FCEAC56622CD3EC0D3D</vt:lpwstr>
  </property>
</Properties>
</file>